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d4546c7194e8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32570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PAKRAC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3.935.144,98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4.195.226,16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2.462.663,60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2.940.427,63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1.472.481,38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1.254.798,53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18.225,01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12.179,88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1.441.187,89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2.495.881,63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1.422.962,88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2.483.701,75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1.429.891,04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1.429.891,04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49.349,82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200.987,82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Grad Pakrac ostvario je u razdoblju od 1.1.2025. do 30.6.2025. godine prihode poslovanja u iznosu od 4.195.226,16€. Rashodi poslovanja za razdoblje od 1.1.2025. do 30.6.2025. godine iznosili su 2.940.427,63 €. Stanje obveza na kraju izvještajnog razdoblja iznosi 2.554.325,04€.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753.568,15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155.359,60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se odnosi na Pomoći fiskalnog izravnanja koje su evidentirane na 6353.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205.387,83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1.175.420,25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odnosi na uplatu Ministarstva regionalnog razvoja i fondova EU za opremanje i izgradnju Spahijskog podruma prema projektu i poslanim ZNS-ovima.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izvanproračunskih korisnika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90.421,66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je zbog završenog projekta Rekonstrukcija pripadajućih prometnih površina u jednoj fazi.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614.066,22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Stavka unesena sukladno Pravilniku.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371.717,00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80.247,60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se odnosi na uplate za projekt Svijet graševine koji nije financiran više iz EU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934.264,18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Smanjenje, odnosno neostvareni iznos se odnosi na uplate za projekt Svijet graševine koji nije financiran više iz EU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18.299,60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68.020,29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povećanje zbog uplate parničnih troškova kojih 2024. godine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kazne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324.564,68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Naplaćena je ugovorna kazna izvođaču radova na izgradnji zgrade za Spahijski podrum.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3.657,15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odnosi na korištenje privatnog automobila u službene svrhe za zaposlene na projektu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Stavka je utrošena za odjeću i obuću zaposlenih u vlastitom pogonu Grada Pakraca.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21.141,57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47.232,57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Sredstva su više utrošena zbog slanja rješenja poštom za NUV, što je drastično povećalo troškove poštanskih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7.095,09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16.290,96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Sredstva su povećana zbog najma scenske opreme za sportsko događanje.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5.806,58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11.849,14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Računalne usluge su povećane zbog novog računalnog programa.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3.665,68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7.562,87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Sredstva su povećana s obzirom da se naknada za vijeće plaća mjesečno što prije nije bio slučaj.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58.062,76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197.081,67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se odnose za plaćanje PDV-a po računima za projekt Svijet graševine.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15.701,13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623,3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Sredstva su povećana zbog korištenja bankarskih usluga po kreditu.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 neprofitnim organizacijama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17.340,00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2667,7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Sredstva su povećana s obzirom da su isplaćena osigurana sredstva crkvama u ukupnom iznosu po Odluci.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182.534,08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2.185.416,53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odnosi na potraživani ZNS za projekt Svijet graševine.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35.754,53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912.033,55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2550,8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Sredstva su utrošena po projektu za opremanje zgrade Spahijskog podruma.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Umjetnička, literarna i znanstvena djela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65.803,22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250.200,27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380,2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Sredstva su utrošena po projektu za opremanje zgrade Spahijskog podruma.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Primljeni krediti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1.429.891,04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Primitak se odnosi na dugoročni kredit banke za financiranje kapitalnih ulaganja.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151.485,88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novčanih sredstava je veće jer nije korišteno kratkoročno zaduženje.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Dospjela obveza se odnosi na uplatu članu biračkog odbora koji je imao zatvoren račun.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bdd4a667ff4ab0" /></Relationships>
</file>